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6728" w14:textId="77777777" w:rsidR="002558A8" w:rsidRPr="00AA59E0" w:rsidRDefault="0013762B" w:rsidP="00AA59E0">
      <w:pPr>
        <w:framePr w:w="12240" w:h="2240" w:wrap="auto" w:vAnchor="page" w:hAnchor="page" w:x="13" w:y="28"/>
        <w:widowControl w:val="0"/>
        <w:autoSpaceDE w:val="0"/>
        <w:autoSpaceDN w:val="0"/>
        <w:adjustRightInd w:val="0"/>
        <w:spacing w:after="0" w:line="240" w:lineRule="auto"/>
        <w:jc w:val="both"/>
        <w:rPr>
          <w:rFonts w:ascii="Arial Narrow" w:hAnsi="Arial Narrow"/>
        </w:rPr>
      </w:pPr>
      <w:r w:rsidRPr="00AA59E0">
        <w:rPr>
          <w:rFonts w:ascii="Arial Narrow" w:hAnsi="Arial Narrow"/>
          <w:noProof/>
          <w:lang w:val="en-US" w:eastAsia="en-US"/>
        </w:rPr>
        <w:drawing>
          <wp:anchor distT="0" distB="0" distL="114300" distR="114300" simplePos="0" relativeHeight="251655680" behindDoc="0" locked="1" layoutInCell="1" allowOverlap="1" wp14:anchorId="46286588" wp14:editId="07777777">
            <wp:simplePos x="0" y="0"/>
            <wp:positionH relativeFrom="column">
              <wp:posOffset>685800</wp:posOffset>
            </wp:positionH>
            <wp:positionV relativeFrom="paragraph">
              <wp:posOffset>457200</wp:posOffset>
            </wp:positionV>
            <wp:extent cx="3495675" cy="781050"/>
            <wp:effectExtent l="19050" t="0" r="9525" b="0"/>
            <wp:wrapSquare wrapText="bothSides"/>
            <wp:docPr id="8" name="Picture 3" descr="School-Environment-blue655-shor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Environment-blue655-short name.jpg"/>
                    <pic:cNvPicPr>
                      <a:picLocks noChangeAspect="1" noChangeArrowheads="1"/>
                    </pic:cNvPicPr>
                  </pic:nvPicPr>
                  <pic:blipFill>
                    <a:blip r:embed="rId7"/>
                    <a:srcRect/>
                    <a:stretch>
                      <a:fillRect/>
                    </a:stretch>
                  </pic:blipFill>
                  <pic:spPr bwMode="auto">
                    <a:xfrm>
                      <a:off x="0" y="0"/>
                      <a:ext cx="3495675" cy="781050"/>
                    </a:xfrm>
                    <a:prstGeom prst="rect">
                      <a:avLst/>
                    </a:prstGeom>
                    <a:noFill/>
                    <a:ln w="9525">
                      <a:noFill/>
                      <a:miter lim="800000"/>
                      <a:headEnd/>
                      <a:tailEnd/>
                    </a:ln>
                  </pic:spPr>
                </pic:pic>
              </a:graphicData>
            </a:graphic>
          </wp:anchor>
        </w:drawing>
      </w:r>
    </w:p>
    <w:p w14:paraId="0E39965A" w14:textId="1AE904ED" w:rsidR="30D99AF7" w:rsidRPr="00AA59E0" w:rsidRDefault="30D99AF7" w:rsidP="005231A2">
      <w:pPr>
        <w:spacing w:after="0" w:line="240" w:lineRule="auto"/>
        <w:jc w:val="right"/>
        <w:rPr>
          <w:rFonts w:ascii="Arial Narrow" w:hAnsi="Arial Narrow"/>
          <w:color w:val="7F7F7F" w:themeColor="text1" w:themeTint="80"/>
          <w:sz w:val="18"/>
          <w:szCs w:val="18"/>
        </w:rPr>
      </w:pPr>
    </w:p>
    <w:p w14:paraId="0E678EC0" w14:textId="77777777" w:rsidR="003A4A91" w:rsidRPr="003A4A91" w:rsidRDefault="003A4A91" w:rsidP="00945BEC">
      <w:pPr>
        <w:spacing w:after="0"/>
        <w:jc w:val="center"/>
        <w:rPr>
          <w:rFonts w:ascii="Centaur" w:hAnsi="Centaur"/>
          <w:b/>
          <w:bCs/>
          <w:sz w:val="24"/>
          <w:szCs w:val="24"/>
        </w:rPr>
      </w:pPr>
      <w:r w:rsidRPr="003A4A91">
        <w:rPr>
          <w:rFonts w:ascii="Centaur" w:hAnsi="Centaur"/>
          <w:b/>
          <w:bCs/>
          <w:sz w:val="24"/>
          <w:szCs w:val="24"/>
        </w:rPr>
        <w:t>Post-doctoral Fellow Positions: Earth Commission Novel Entities Group</w:t>
      </w:r>
    </w:p>
    <w:p w14:paraId="35DC2196" w14:textId="0EAD3A41" w:rsidR="003A4A91" w:rsidRPr="003A4A91" w:rsidRDefault="003A4A91" w:rsidP="00945BEC">
      <w:pPr>
        <w:spacing w:after="0"/>
        <w:jc w:val="center"/>
        <w:rPr>
          <w:rFonts w:ascii="Centaur" w:hAnsi="Centaur"/>
          <w:b/>
          <w:bCs/>
          <w:sz w:val="24"/>
          <w:szCs w:val="24"/>
        </w:rPr>
      </w:pPr>
      <w:r w:rsidRPr="003A4A91">
        <w:rPr>
          <w:rFonts w:ascii="Centaur" w:hAnsi="Centaur"/>
          <w:b/>
          <w:bCs/>
          <w:sz w:val="24"/>
          <w:szCs w:val="24"/>
        </w:rPr>
        <w:t>March 2024</w:t>
      </w:r>
    </w:p>
    <w:p w14:paraId="5901360E" w14:textId="77777777" w:rsidR="003A4A91" w:rsidRPr="003A4A91" w:rsidRDefault="003A4A91" w:rsidP="003A4A91">
      <w:pPr>
        <w:rPr>
          <w:rFonts w:ascii="Centaur" w:hAnsi="Centaur"/>
          <w:b/>
          <w:bCs/>
          <w:sz w:val="24"/>
          <w:szCs w:val="24"/>
        </w:rPr>
      </w:pPr>
      <w:r w:rsidRPr="003A4A91">
        <w:rPr>
          <w:rFonts w:ascii="Centaur" w:hAnsi="Centaur"/>
          <w:b/>
          <w:bCs/>
          <w:sz w:val="24"/>
          <w:szCs w:val="24"/>
        </w:rPr>
        <w:t>Area of Research and Description of Duties</w:t>
      </w:r>
    </w:p>
    <w:p w14:paraId="1E83AAA1" w14:textId="77777777" w:rsidR="003A4A91" w:rsidRPr="003A4A91" w:rsidRDefault="003A4A91" w:rsidP="003A4A91">
      <w:pPr>
        <w:rPr>
          <w:rFonts w:ascii="Centaur" w:hAnsi="Centaur"/>
          <w:sz w:val="24"/>
          <w:szCs w:val="24"/>
        </w:rPr>
      </w:pPr>
      <w:r w:rsidRPr="003A4A91">
        <w:rPr>
          <w:rFonts w:ascii="Centaur" w:hAnsi="Centaur"/>
          <w:sz w:val="24"/>
          <w:szCs w:val="24"/>
        </w:rPr>
        <w:t xml:space="preserve">In collaboration with the </w:t>
      </w:r>
      <w:hyperlink r:id="rId8" w:history="1">
        <w:r w:rsidRPr="003A4A91">
          <w:rPr>
            <w:rStyle w:val="Hyperlink"/>
            <w:rFonts w:ascii="Centaur" w:hAnsi="Centaur"/>
            <w:sz w:val="24"/>
            <w:szCs w:val="24"/>
          </w:rPr>
          <w:t>Earth Commission</w:t>
        </w:r>
      </w:hyperlink>
      <w:r w:rsidRPr="003A4A91">
        <w:rPr>
          <w:rFonts w:ascii="Centaur" w:hAnsi="Centaur"/>
          <w:sz w:val="24"/>
          <w:szCs w:val="24"/>
        </w:rPr>
        <w:t xml:space="preserve">, the University of Toronto </w:t>
      </w:r>
      <w:hyperlink r:id="rId9" w:history="1">
        <w:r w:rsidRPr="003A4A91">
          <w:rPr>
            <w:rStyle w:val="Hyperlink"/>
            <w:rFonts w:ascii="Centaur" w:hAnsi="Centaur"/>
            <w:sz w:val="24"/>
            <w:szCs w:val="24"/>
          </w:rPr>
          <w:t>School of the Environment</w:t>
        </w:r>
      </w:hyperlink>
      <w:r w:rsidRPr="003A4A91">
        <w:rPr>
          <w:rFonts w:ascii="Centaur" w:hAnsi="Centaur"/>
          <w:sz w:val="24"/>
          <w:szCs w:val="24"/>
        </w:rPr>
        <w:t xml:space="preserve"> is excited to announce opportunities two Post-doctoral Fellows (PDFs) to join the core research team focussed on assessing “</w:t>
      </w:r>
      <w:hyperlink r:id="rId10" w:history="1">
        <w:r w:rsidRPr="003A4A91">
          <w:rPr>
            <w:rStyle w:val="Hyperlink"/>
            <w:rFonts w:ascii="Centaur" w:hAnsi="Centaur"/>
            <w:sz w:val="24"/>
            <w:szCs w:val="24"/>
          </w:rPr>
          <w:t>Safe and Just Earth System Boundaries</w:t>
        </w:r>
      </w:hyperlink>
      <w:r w:rsidRPr="003A4A91">
        <w:rPr>
          <w:rFonts w:ascii="Centaur" w:hAnsi="Centaur"/>
          <w:sz w:val="24"/>
          <w:szCs w:val="24"/>
        </w:rPr>
        <w:t xml:space="preserve">” for Novel Entities (ESBs). </w:t>
      </w:r>
    </w:p>
    <w:p w14:paraId="3C359969" w14:textId="77777777" w:rsidR="003A4A91" w:rsidRPr="003A4A91" w:rsidRDefault="003A4A91" w:rsidP="003A4A91">
      <w:pPr>
        <w:rPr>
          <w:rFonts w:ascii="Centaur" w:hAnsi="Centaur"/>
          <w:sz w:val="24"/>
          <w:szCs w:val="24"/>
        </w:rPr>
      </w:pPr>
      <w:r w:rsidRPr="003A4A91">
        <w:rPr>
          <w:rFonts w:ascii="Centaur" w:hAnsi="Centaur"/>
          <w:sz w:val="24"/>
          <w:szCs w:val="24"/>
        </w:rPr>
        <w:t>The following are the areas that will be addressed by the PDFs, with exact subject areas to be divided by the two PDFs based on expertise and interest of each candidate:</w:t>
      </w:r>
    </w:p>
    <w:p w14:paraId="6F4B3073" w14:textId="77777777" w:rsidR="003A4A91" w:rsidRPr="003A4A91" w:rsidRDefault="003A4A91" w:rsidP="003A4A91">
      <w:pPr>
        <w:pStyle w:val="ListParagraph"/>
        <w:numPr>
          <w:ilvl w:val="0"/>
          <w:numId w:val="6"/>
        </w:numPr>
        <w:spacing w:after="160" w:line="259" w:lineRule="auto"/>
        <w:rPr>
          <w:rFonts w:ascii="Centaur" w:hAnsi="Centaur"/>
          <w:sz w:val="24"/>
          <w:szCs w:val="24"/>
        </w:rPr>
      </w:pPr>
      <w:r w:rsidRPr="003A4A91">
        <w:rPr>
          <w:rFonts w:ascii="Centaur" w:hAnsi="Centaur"/>
          <w:sz w:val="24"/>
          <w:szCs w:val="24"/>
        </w:rPr>
        <w:t xml:space="preserve">Scan of methods that could be used to determine ESBs for a subset of novel entities. The methods that could be used include material flow analysis, life cycle assessment and other types of impact assessment methods. </w:t>
      </w:r>
    </w:p>
    <w:p w14:paraId="328EADC7" w14:textId="77777777" w:rsidR="003A4A91" w:rsidRPr="003A4A91" w:rsidRDefault="003A4A91" w:rsidP="003A4A91">
      <w:pPr>
        <w:pStyle w:val="ListParagraph"/>
        <w:numPr>
          <w:ilvl w:val="0"/>
          <w:numId w:val="6"/>
        </w:numPr>
        <w:spacing w:after="160" w:line="259" w:lineRule="auto"/>
        <w:rPr>
          <w:rFonts w:ascii="Centaur" w:hAnsi="Centaur"/>
          <w:sz w:val="24"/>
          <w:szCs w:val="24"/>
        </w:rPr>
      </w:pPr>
      <w:r w:rsidRPr="003A4A91">
        <w:rPr>
          <w:rFonts w:ascii="Centaur" w:hAnsi="Centaur"/>
          <w:sz w:val="24"/>
          <w:szCs w:val="24"/>
        </w:rPr>
        <w:t xml:space="preserve">Undertake “horizon scanning” of the literature to document present and future novel entities that are or could transgress either a </w:t>
      </w:r>
      <w:hyperlink r:id="rId11" w:history="1">
        <w:r w:rsidRPr="003A4A91">
          <w:rPr>
            <w:rStyle w:val="Hyperlink"/>
            <w:rFonts w:ascii="Centaur" w:hAnsi="Centaur"/>
            <w:sz w:val="24"/>
            <w:szCs w:val="24"/>
          </w:rPr>
          <w:t>Safe or Just ESB</w:t>
        </w:r>
      </w:hyperlink>
      <w:r w:rsidRPr="003A4A91">
        <w:rPr>
          <w:rFonts w:ascii="Centaur" w:hAnsi="Centaur"/>
          <w:sz w:val="24"/>
          <w:szCs w:val="24"/>
        </w:rPr>
        <w:t>. This scan will add the broad context to the case studies of specific novel entities.</w:t>
      </w:r>
    </w:p>
    <w:p w14:paraId="26AD8AD4" w14:textId="77777777" w:rsidR="003A4A91" w:rsidRPr="003A4A91" w:rsidRDefault="003A4A91" w:rsidP="003A4A91">
      <w:pPr>
        <w:pStyle w:val="ListParagraph"/>
        <w:numPr>
          <w:ilvl w:val="0"/>
          <w:numId w:val="6"/>
        </w:numPr>
        <w:spacing w:after="160" w:line="259" w:lineRule="auto"/>
        <w:rPr>
          <w:rFonts w:ascii="Centaur" w:hAnsi="Centaur"/>
          <w:sz w:val="24"/>
          <w:szCs w:val="24"/>
        </w:rPr>
      </w:pPr>
      <w:r w:rsidRPr="003A4A91">
        <w:rPr>
          <w:rFonts w:ascii="Centaur" w:hAnsi="Centaur"/>
          <w:sz w:val="24"/>
          <w:szCs w:val="24"/>
        </w:rPr>
        <w:t>Undertake case studies of several specific novel entities to develop Safe (biophysically-based) and Just (according to interspecies, intra-societal and intergenerational equity) ESBs.</w:t>
      </w:r>
    </w:p>
    <w:p w14:paraId="6AB3B131" w14:textId="77777777" w:rsidR="003A4A91" w:rsidRPr="003A4A91" w:rsidRDefault="003A4A91" w:rsidP="003A4A91">
      <w:pPr>
        <w:pStyle w:val="ListParagraph"/>
        <w:numPr>
          <w:ilvl w:val="0"/>
          <w:numId w:val="6"/>
        </w:numPr>
        <w:spacing w:after="160" w:line="259" w:lineRule="auto"/>
        <w:rPr>
          <w:rFonts w:ascii="Centaur" w:hAnsi="Centaur"/>
          <w:sz w:val="24"/>
          <w:szCs w:val="24"/>
        </w:rPr>
      </w:pPr>
      <w:r w:rsidRPr="003A4A91">
        <w:rPr>
          <w:rFonts w:ascii="Centaur" w:hAnsi="Centaur"/>
          <w:sz w:val="24"/>
          <w:szCs w:val="24"/>
        </w:rPr>
        <w:t xml:space="preserve">Consider </w:t>
      </w:r>
      <w:hyperlink r:id="rId12" w:history="1">
        <w:r w:rsidRPr="003A4A91">
          <w:rPr>
            <w:rStyle w:val="Hyperlink"/>
            <w:rFonts w:ascii="Centaur" w:hAnsi="Centaur"/>
            <w:sz w:val="24"/>
            <w:szCs w:val="24"/>
          </w:rPr>
          <w:t>transformation pathways</w:t>
        </w:r>
      </w:hyperlink>
      <w:r w:rsidRPr="003A4A91">
        <w:rPr>
          <w:rFonts w:ascii="Centaur" w:hAnsi="Centaur"/>
          <w:sz w:val="24"/>
          <w:szCs w:val="24"/>
        </w:rPr>
        <w:t xml:space="preserve"> that moves society from our current situation to within safe and just ESBs. This analysis could consider novel entities in broad categories and could also focus in on the case studies undertaken for the ESB evaluation.</w:t>
      </w:r>
    </w:p>
    <w:p w14:paraId="0AA19E43" w14:textId="77777777" w:rsidR="003A4A91" w:rsidRPr="003A4A91" w:rsidRDefault="003A4A91" w:rsidP="003A4A91">
      <w:pPr>
        <w:rPr>
          <w:rFonts w:ascii="Centaur" w:hAnsi="Centaur"/>
          <w:b/>
          <w:bCs/>
          <w:sz w:val="24"/>
          <w:szCs w:val="24"/>
        </w:rPr>
      </w:pPr>
      <w:r w:rsidRPr="003A4A91">
        <w:rPr>
          <w:rFonts w:ascii="Centaur" w:hAnsi="Centaur"/>
          <w:b/>
          <w:bCs/>
          <w:sz w:val="24"/>
          <w:szCs w:val="24"/>
        </w:rPr>
        <w:t>Qualifications</w:t>
      </w:r>
    </w:p>
    <w:p w14:paraId="754134AC" w14:textId="23A93B40" w:rsidR="003A4A91" w:rsidRPr="003A4A91" w:rsidRDefault="003A4A91" w:rsidP="003A4A91">
      <w:pPr>
        <w:rPr>
          <w:rFonts w:ascii="Centaur" w:hAnsi="Centaur"/>
          <w:sz w:val="24"/>
          <w:szCs w:val="24"/>
        </w:rPr>
      </w:pPr>
      <w:r w:rsidRPr="003A4A91">
        <w:rPr>
          <w:rFonts w:ascii="Centaur" w:hAnsi="Centaur"/>
          <w:sz w:val="24"/>
          <w:szCs w:val="24"/>
        </w:rPr>
        <w:t xml:space="preserve">The candidates will have either graduated with their PhD or be close to graduation, with demonstrated experience in multidisciplinary research. One candidate will be expert in biophysical/engineering aspects of novel entities, including but not constrained to fields of environmental chemistry and environmental and/or chemical engineering.  The other candidate will be expert in areas of governance and </w:t>
      </w:r>
      <w:r w:rsidR="00EA05D4">
        <w:rPr>
          <w:rFonts w:ascii="Centaur" w:hAnsi="Centaur"/>
          <w:sz w:val="24"/>
          <w:szCs w:val="24"/>
        </w:rPr>
        <w:t xml:space="preserve">sustainability </w:t>
      </w:r>
      <w:r w:rsidRPr="003A4A91">
        <w:rPr>
          <w:rFonts w:ascii="Centaur" w:hAnsi="Centaur"/>
          <w:sz w:val="24"/>
          <w:szCs w:val="24"/>
        </w:rPr>
        <w:t xml:space="preserve">transformations, including but not constrained to the fields of environmental science or studies, political economy. Both candidates will need to be attentive to issues of equity and how equity can be brought about. </w:t>
      </w:r>
    </w:p>
    <w:p w14:paraId="618E9D7F" w14:textId="77777777" w:rsidR="003A4A91" w:rsidRPr="003A4A91" w:rsidRDefault="003A4A91" w:rsidP="003A4A91">
      <w:pPr>
        <w:rPr>
          <w:rFonts w:ascii="Centaur" w:hAnsi="Centaur"/>
          <w:b/>
          <w:bCs/>
          <w:sz w:val="24"/>
          <w:szCs w:val="24"/>
        </w:rPr>
      </w:pPr>
      <w:r w:rsidRPr="003A4A91">
        <w:rPr>
          <w:rFonts w:ascii="Centaur" w:hAnsi="Centaur"/>
          <w:b/>
          <w:bCs/>
          <w:sz w:val="24"/>
          <w:szCs w:val="24"/>
        </w:rPr>
        <w:t>About the Project</w:t>
      </w:r>
    </w:p>
    <w:p w14:paraId="373D0A72" w14:textId="77777777" w:rsidR="003A4A91" w:rsidRPr="003A4A91" w:rsidRDefault="003A4A91" w:rsidP="003A4A91">
      <w:pPr>
        <w:rPr>
          <w:rFonts w:ascii="Centaur" w:hAnsi="Centaur"/>
          <w:sz w:val="24"/>
          <w:szCs w:val="24"/>
        </w:rPr>
      </w:pPr>
      <w:r w:rsidRPr="003A4A91">
        <w:rPr>
          <w:rFonts w:ascii="Centaur" w:hAnsi="Centaur"/>
          <w:sz w:val="24"/>
          <w:szCs w:val="24"/>
        </w:rPr>
        <w:t xml:space="preserve">The Earth Commission's international project focuses on updating the Safe and Just Earth system boundaries for a sustainable future for all. It builds on foundational work by </w:t>
      </w:r>
      <w:hyperlink r:id="rId13" w:history="1">
        <w:proofErr w:type="spellStart"/>
        <w:r w:rsidRPr="003A4A91">
          <w:rPr>
            <w:rStyle w:val="Hyperlink"/>
            <w:rFonts w:ascii="Centaur" w:hAnsi="Centaur"/>
            <w:sz w:val="24"/>
            <w:szCs w:val="24"/>
          </w:rPr>
          <w:t>Rockström</w:t>
        </w:r>
        <w:proofErr w:type="spellEnd"/>
        <w:r w:rsidRPr="003A4A91">
          <w:rPr>
            <w:rStyle w:val="Hyperlink"/>
            <w:rFonts w:ascii="Centaur" w:hAnsi="Centaur"/>
            <w:sz w:val="24"/>
            <w:szCs w:val="24"/>
          </w:rPr>
          <w:t xml:space="preserve"> et al</w:t>
        </w:r>
      </w:hyperlink>
      <w:r w:rsidRPr="003A4A91">
        <w:rPr>
          <w:rFonts w:ascii="Centaur" w:hAnsi="Centaur"/>
          <w:sz w:val="24"/>
          <w:szCs w:val="24"/>
        </w:rPr>
        <w:t xml:space="preserve">. about planetary boundaries, Earth system boundaries and recently </w:t>
      </w:r>
      <w:hyperlink r:id="rId14" w:history="1">
        <w:r w:rsidRPr="003A4A91">
          <w:rPr>
            <w:rStyle w:val="Hyperlink"/>
            <w:rFonts w:ascii="Centaur" w:hAnsi="Centaur"/>
            <w:sz w:val="24"/>
            <w:szCs w:val="24"/>
          </w:rPr>
          <w:t>Diamond and others</w:t>
        </w:r>
      </w:hyperlink>
      <w:r w:rsidRPr="003A4A91">
        <w:rPr>
          <w:rFonts w:ascii="Centaur" w:hAnsi="Centaur"/>
          <w:sz w:val="24"/>
          <w:szCs w:val="24"/>
        </w:rPr>
        <w:t xml:space="preserve"> who have explored the planetary boundary for chemical pollution. The goal of this specific project is to advance the current understanding and implementation of strategies to stay within the Safe and Just Earth System Boundaries for novel entities, including chemical pollution.</w:t>
      </w:r>
    </w:p>
    <w:p w14:paraId="7400A242" w14:textId="77777777" w:rsidR="00945BEC" w:rsidRDefault="00945BEC">
      <w:pPr>
        <w:spacing w:after="0" w:line="240" w:lineRule="auto"/>
        <w:rPr>
          <w:rFonts w:ascii="Centaur" w:hAnsi="Centaur"/>
          <w:b/>
          <w:bCs/>
          <w:sz w:val="24"/>
          <w:szCs w:val="24"/>
        </w:rPr>
      </w:pPr>
      <w:r>
        <w:rPr>
          <w:rFonts w:ascii="Centaur" w:hAnsi="Centaur"/>
          <w:b/>
          <w:bCs/>
          <w:sz w:val="24"/>
          <w:szCs w:val="24"/>
        </w:rPr>
        <w:br w:type="page"/>
      </w:r>
    </w:p>
    <w:p w14:paraId="3BC6942D" w14:textId="41B26605" w:rsidR="003A4A91" w:rsidRPr="003A4A91" w:rsidRDefault="003A4A91" w:rsidP="003A4A91">
      <w:pPr>
        <w:rPr>
          <w:rFonts w:ascii="Centaur" w:hAnsi="Centaur"/>
          <w:b/>
          <w:bCs/>
          <w:sz w:val="24"/>
          <w:szCs w:val="24"/>
        </w:rPr>
      </w:pPr>
      <w:r w:rsidRPr="003A4A91">
        <w:rPr>
          <w:rFonts w:ascii="Centaur" w:hAnsi="Centaur"/>
          <w:b/>
          <w:bCs/>
          <w:sz w:val="24"/>
          <w:szCs w:val="24"/>
        </w:rPr>
        <w:lastRenderedPageBreak/>
        <w:t>Details of the Position</w:t>
      </w:r>
    </w:p>
    <w:p w14:paraId="4C2F573E" w14:textId="60843F63" w:rsidR="003A4A91" w:rsidRPr="003A4A91" w:rsidRDefault="003A4A91" w:rsidP="003A4A91">
      <w:pPr>
        <w:rPr>
          <w:rFonts w:ascii="Centaur" w:hAnsi="Centaur"/>
          <w:sz w:val="24"/>
          <w:szCs w:val="24"/>
        </w:rPr>
      </w:pPr>
      <w:r w:rsidRPr="003A4A91">
        <w:rPr>
          <w:rFonts w:ascii="Centaur" w:hAnsi="Centaur"/>
          <w:sz w:val="24"/>
          <w:szCs w:val="24"/>
        </w:rPr>
        <w:t>Funding is available for at least 2 years at an annual net salary of $60,00</w:t>
      </w:r>
      <w:r w:rsidR="00EA05D4">
        <w:rPr>
          <w:rFonts w:ascii="Centaur" w:hAnsi="Centaur"/>
          <w:sz w:val="24"/>
          <w:szCs w:val="24"/>
        </w:rPr>
        <w:t>0</w:t>
      </w:r>
      <w:r w:rsidRPr="003A4A91">
        <w:rPr>
          <w:rFonts w:ascii="Centaur" w:hAnsi="Centaur"/>
          <w:sz w:val="24"/>
          <w:szCs w:val="24"/>
        </w:rPr>
        <w:t xml:space="preserve"> CAN commensurate with experience. The normal hours of work are 40 hours per week for a fulltime postdoctoral fellow (pro-rated for those holding a partial appointment) recognizing that the needs of the employee’s research and training and the needs of the supervisor’s research program may require flexibility in the performance of the employee’s duties and hours of work. You will be supervised jointly by Professor Miriam L. Diamond (School of the Environment and Dept of Earth Sciences</w:t>
      </w:r>
      <w:r w:rsidR="00945BEC">
        <w:rPr>
          <w:rFonts w:ascii="Centaur" w:hAnsi="Centaur"/>
          <w:sz w:val="24"/>
          <w:szCs w:val="24"/>
        </w:rPr>
        <w:t>, University of Toronto</w:t>
      </w:r>
      <w:r w:rsidRPr="003A4A91">
        <w:rPr>
          <w:rFonts w:ascii="Centaur" w:hAnsi="Centaur"/>
          <w:sz w:val="24"/>
          <w:szCs w:val="24"/>
        </w:rPr>
        <w:t xml:space="preserve">) and </w:t>
      </w:r>
      <w:proofErr w:type="spellStart"/>
      <w:r w:rsidRPr="003A4A91">
        <w:rPr>
          <w:rFonts w:ascii="Centaur" w:hAnsi="Centaur"/>
          <w:sz w:val="24"/>
          <w:szCs w:val="24"/>
        </w:rPr>
        <w:t>Dr.</w:t>
      </w:r>
      <w:proofErr w:type="spellEnd"/>
      <w:r w:rsidRPr="003A4A91">
        <w:rPr>
          <w:rFonts w:ascii="Centaur" w:hAnsi="Centaur"/>
          <w:sz w:val="24"/>
          <w:szCs w:val="24"/>
        </w:rPr>
        <w:t xml:space="preserve"> </w:t>
      </w:r>
      <w:proofErr w:type="spellStart"/>
      <w:r w:rsidRPr="003A4A91">
        <w:rPr>
          <w:rFonts w:ascii="Centaur" w:hAnsi="Centaur"/>
          <w:sz w:val="24"/>
          <w:szCs w:val="24"/>
        </w:rPr>
        <w:t>Zhanyun</w:t>
      </w:r>
      <w:proofErr w:type="spellEnd"/>
      <w:r w:rsidRPr="003A4A91">
        <w:rPr>
          <w:rFonts w:ascii="Centaur" w:hAnsi="Centaur"/>
          <w:sz w:val="24"/>
          <w:szCs w:val="24"/>
        </w:rPr>
        <w:t xml:space="preserve"> Wang (</w:t>
      </w:r>
      <w:r w:rsidR="00EA05D4">
        <w:rPr>
          <w:rFonts w:ascii="Centaur" w:hAnsi="Centaur"/>
          <w:sz w:val="24"/>
          <w:szCs w:val="24"/>
        </w:rPr>
        <w:t>EMPA</w:t>
      </w:r>
      <w:r w:rsidR="00945BEC">
        <w:rPr>
          <w:rFonts w:ascii="Centaur" w:hAnsi="Centaur"/>
          <w:sz w:val="24"/>
          <w:szCs w:val="24"/>
        </w:rPr>
        <w:t>, Switzerland</w:t>
      </w:r>
      <w:r w:rsidRPr="003A4A91">
        <w:rPr>
          <w:rFonts w:ascii="Centaur" w:hAnsi="Centaur"/>
          <w:sz w:val="24"/>
          <w:szCs w:val="24"/>
        </w:rPr>
        <w:t xml:space="preserve">). Start date is flexible but sooner than later is preferred. </w:t>
      </w:r>
    </w:p>
    <w:p w14:paraId="4F32B7A5" w14:textId="77777777" w:rsidR="003A4A91" w:rsidRPr="003A4A91" w:rsidRDefault="003A4A91" w:rsidP="003A4A91">
      <w:pPr>
        <w:rPr>
          <w:rFonts w:ascii="Centaur" w:hAnsi="Centaur"/>
          <w:sz w:val="24"/>
          <w:szCs w:val="24"/>
        </w:rPr>
      </w:pPr>
      <w:r w:rsidRPr="003A4A91">
        <w:rPr>
          <w:rFonts w:ascii="Centaur" w:hAnsi="Centaur"/>
          <w:sz w:val="24"/>
          <w:szCs w:val="24"/>
        </w:rPr>
        <w:t>Employment as a Postdoctoral Fellow at the University of Toronto is covered by the terms of the CUPE 3902 Unit 5 Collective Agreement.</w:t>
      </w:r>
    </w:p>
    <w:p w14:paraId="67BC11C7" w14:textId="77777777" w:rsidR="003A4A91" w:rsidRPr="003A4A91" w:rsidRDefault="003A4A91" w:rsidP="003A4A91">
      <w:pPr>
        <w:rPr>
          <w:rFonts w:ascii="Centaur" w:hAnsi="Centaur"/>
          <w:sz w:val="24"/>
          <w:szCs w:val="24"/>
        </w:rPr>
      </w:pPr>
      <w:r w:rsidRPr="003A4A91">
        <w:rPr>
          <w:rFonts w:ascii="Centaur" w:hAnsi="Centaur"/>
          <w:sz w:val="24"/>
          <w:szCs w:val="24"/>
        </w:rPr>
        <w:t>This job is posted in accordance with the CUPE 3902 Unit 5 Collective Agreement.</w:t>
      </w:r>
    </w:p>
    <w:p w14:paraId="3502DB28" w14:textId="77777777" w:rsidR="003A4A91" w:rsidRPr="003A4A91" w:rsidRDefault="003A4A91" w:rsidP="003A4A91">
      <w:pPr>
        <w:rPr>
          <w:rFonts w:ascii="Centaur" w:hAnsi="Centaur"/>
          <w:sz w:val="24"/>
          <w:szCs w:val="24"/>
        </w:rPr>
      </w:pPr>
      <w:r w:rsidRPr="003A4A91">
        <w:rPr>
          <w:rFonts w:ascii="Centaur" w:hAnsi="Centaur"/>
          <w:sz w:val="24"/>
          <w:szCs w:val="24"/>
        </w:rPr>
        <w:t>The University of Toronto is strongly committed to diversity within its community and especially welcomes applications from racialized persons/persons of colour, women, Indigenous / Aboriginal People of North America, persons with disabilities, LGBTQ2S+ persons, and others who may contribute to the further diversification of ideas.</w:t>
      </w:r>
    </w:p>
    <w:p w14:paraId="499E5B88" w14:textId="77777777" w:rsidR="003A4A91" w:rsidRPr="003A4A91" w:rsidRDefault="003A4A91" w:rsidP="003A4A91">
      <w:pPr>
        <w:rPr>
          <w:rFonts w:ascii="Centaur" w:hAnsi="Centaur"/>
          <w:b/>
          <w:bCs/>
          <w:sz w:val="24"/>
          <w:szCs w:val="24"/>
        </w:rPr>
      </w:pPr>
      <w:r w:rsidRPr="003A4A91">
        <w:rPr>
          <w:rFonts w:ascii="Centaur" w:hAnsi="Centaur"/>
          <w:b/>
          <w:bCs/>
          <w:sz w:val="24"/>
          <w:szCs w:val="24"/>
        </w:rPr>
        <w:t>How to Apply</w:t>
      </w:r>
    </w:p>
    <w:p w14:paraId="5B2A4D9E" w14:textId="04FD6A73" w:rsidR="003A4A91" w:rsidRPr="00945BEC" w:rsidRDefault="003A4A91" w:rsidP="003A4A91">
      <w:pPr>
        <w:rPr>
          <w:rFonts w:ascii="Centaur" w:hAnsi="Centaur"/>
          <w:sz w:val="24"/>
          <w:szCs w:val="24"/>
        </w:rPr>
      </w:pPr>
      <w:r w:rsidRPr="003A4A91">
        <w:rPr>
          <w:rFonts w:ascii="Centaur" w:hAnsi="Centaur"/>
          <w:sz w:val="24"/>
          <w:szCs w:val="24"/>
        </w:rPr>
        <w:t xml:space="preserve">Interested candidates are invited to submit their full CV, a cover letter describing their interest in the position and how their background aligns with the project's goals, and examples of their published work. You must list three referees who can provide an arm’s length assessment of your professional expertise and performance. Please send your application to </w:t>
      </w:r>
      <w:hyperlink r:id="rId15" w:history="1">
        <w:r w:rsidRPr="003A4A91">
          <w:rPr>
            <w:rStyle w:val="Hyperlink"/>
            <w:rFonts w:ascii="Centaur" w:hAnsi="Centaur"/>
            <w:sz w:val="24"/>
            <w:szCs w:val="24"/>
          </w:rPr>
          <w:t>miriam.diamond@utoronto.ca</w:t>
        </w:r>
      </w:hyperlink>
      <w:r w:rsidR="00945BEC">
        <w:rPr>
          <w:rStyle w:val="Hyperlink"/>
          <w:rFonts w:ascii="Centaur" w:hAnsi="Centaur"/>
          <w:color w:val="auto"/>
          <w:sz w:val="24"/>
          <w:szCs w:val="24"/>
          <w:u w:val="none"/>
        </w:rPr>
        <w:t xml:space="preserve"> </w:t>
      </w:r>
      <w:r w:rsidR="00757B5A" w:rsidRPr="00757B5A">
        <w:rPr>
          <w:rStyle w:val="Hyperlink"/>
          <w:rFonts w:ascii="Centaur" w:hAnsi="Centaur"/>
          <w:color w:val="auto"/>
          <w:sz w:val="24"/>
          <w:szCs w:val="24"/>
        </w:rPr>
        <w:t xml:space="preserve">Deadline is 1 May 2024. </w:t>
      </w:r>
    </w:p>
    <w:p w14:paraId="00F07EBE" w14:textId="77777777" w:rsidR="003A4A91" w:rsidRDefault="003A4A91" w:rsidP="003A4A91"/>
    <w:p w14:paraId="707CAE3C" w14:textId="7A353A4A" w:rsidR="005231A2" w:rsidRPr="00FC292B" w:rsidRDefault="005231A2" w:rsidP="005231A2">
      <w:pPr>
        <w:spacing w:after="0" w:line="240" w:lineRule="auto"/>
        <w:jc w:val="both"/>
        <w:rPr>
          <w:rFonts w:ascii="Arial Narrow" w:eastAsia="Batang" w:hAnsi="Arial Narrow" w:cs="Calibri"/>
        </w:rPr>
      </w:pPr>
    </w:p>
    <w:p w14:paraId="670A2AE2" w14:textId="0C1BFFA3" w:rsidR="005231A2" w:rsidRPr="00FC292B" w:rsidRDefault="005231A2" w:rsidP="005231A2">
      <w:pPr>
        <w:spacing w:after="0" w:line="240" w:lineRule="auto"/>
        <w:jc w:val="both"/>
        <w:rPr>
          <w:rFonts w:ascii="Arial Narrow" w:eastAsia="Batang" w:hAnsi="Arial Narrow" w:cs="Calibri"/>
        </w:rPr>
      </w:pPr>
    </w:p>
    <w:p w14:paraId="292ADA65" w14:textId="6C0927C9" w:rsidR="005231A2" w:rsidRPr="00FC292B" w:rsidRDefault="005231A2" w:rsidP="005231A2">
      <w:pPr>
        <w:spacing w:after="0" w:line="240" w:lineRule="auto"/>
        <w:jc w:val="both"/>
        <w:rPr>
          <w:rFonts w:ascii="Arial Narrow" w:eastAsia="Batang" w:hAnsi="Arial Narrow" w:cs="Calibri"/>
        </w:rPr>
      </w:pPr>
    </w:p>
    <w:p w14:paraId="364834B8" w14:textId="0B1B4380" w:rsidR="005231A2" w:rsidRPr="00FC292B" w:rsidRDefault="005231A2" w:rsidP="005231A2">
      <w:pPr>
        <w:spacing w:after="0" w:line="240" w:lineRule="auto"/>
        <w:jc w:val="both"/>
        <w:rPr>
          <w:rFonts w:ascii="Arial Narrow" w:eastAsia="Batang" w:hAnsi="Arial Narrow" w:cs="Calibri"/>
        </w:rPr>
      </w:pPr>
    </w:p>
    <w:p w14:paraId="6333B085" w14:textId="77777777" w:rsidR="005231A2" w:rsidRPr="00FC292B" w:rsidRDefault="005231A2" w:rsidP="005231A2">
      <w:pPr>
        <w:spacing w:after="0" w:line="240" w:lineRule="auto"/>
        <w:jc w:val="both"/>
        <w:rPr>
          <w:rFonts w:ascii="Arial Narrow" w:hAnsi="Arial Narrow" w:cs="Calibri"/>
        </w:rPr>
      </w:pPr>
    </w:p>
    <w:sectPr w:rsidR="005231A2" w:rsidRPr="00FC292B" w:rsidSect="003A4A91">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F35D" w14:textId="77777777" w:rsidR="00545121" w:rsidRDefault="00545121">
      <w:pPr>
        <w:spacing w:after="0" w:line="240" w:lineRule="auto"/>
      </w:pPr>
      <w:r>
        <w:separator/>
      </w:r>
    </w:p>
  </w:endnote>
  <w:endnote w:type="continuationSeparator" w:id="0">
    <w:p w14:paraId="16779692" w14:textId="77777777" w:rsidR="00545121" w:rsidRDefault="0054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5043" w14:textId="77777777" w:rsidR="00C11E6D" w:rsidRDefault="00C11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843070"/>
      <w:docPartObj>
        <w:docPartGallery w:val="Page Numbers (Bottom of Page)"/>
        <w:docPartUnique/>
      </w:docPartObj>
    </w:sdtPr>
    <w:sdtEndPr>
      <w:rPr>
        <w:noProof/>
      </w:rPr>
    </w:sdtEndPr>
    <w:sdtContent>
      <w:p w14:paraId="7E8203F1" w14:textId="6BA0A4F4" w:rsidR="00CC7704" w:rsidRDefault="000B0ED3">
        <w:pPr>
          <w:pStyle w:val="Footer"/>
          <w:jc w:val="right"/>
        </w:pPr>
      </w:p>
    </w:sdtContent>
  </w:sdt>
  <w:p w14:paraId="4101652C" w14:textId="6D4D7391" w:rsidR="002558A8" w:rsidRPr="003F46CA" w:rsidRDefault="002558A8" w:rsidP="003F46C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581B" w14:textId="77777777" w:rsidR="00B749B7" w:rsidRDefault="00B749B7" w:rsidP="00B749B7">
    <w:pPr>
      <w:pStyle w:val="Footer"/>
      <w:rPr>
        <w:sz w:val="18"/>
        <w:szCs w:val="18"/>
      </w:rPr>
    </w:pPr>
  </w:p>
  <w:p w14:paraId="00BB1EFF" w14:textId="376B9192" w:rsidR="00B749B7" w:rsidRPr="00867D51" w:rsidRDefault="00B749B7" w:rsidP="00B749B7">
    <w:pPr>
      <w:pStyle w:val="Footer"/>
      <w:rPr>
        <w:sz w:val="18"/>
        <w:szCs w:val="18"/>
      </w:rPr>
    </w:pPr>
    <w:r w:rsidRPr="00867D51">
      <w:rPr>
        <w:sz w:val="18"/>
        <w:szCs w:val="18"/>
      </w:rPr>
      <w:t>School of the Environment, University of Toronto, 33 Willcocks Street, Toronto, ON   M5S 3E8</w:t>
    </w:r>
    <w:r>
      <w:rPr>
        <w:sz w:val="18"/>
        <w:szCs w:val="18"/>
      </w:rPr>
      <w:t xml:space="preserve"> Canada</w:t>
    </w:r>
  </w:p>
  <w:p w14:paraId="25A0DC67" w14:textId="77777777" w:rsidR="00B749B7" w:rsidRPr="003F46CA" w:rsidRDefault="00B749B7" w:rsidP="00B749B7">
    <w:pPr>
      <w:pStyle w:val="Footer"/>
      <w:rPr>
        <w:sz w:val="18"/>
        <w:szCs w:val="18"/>
      </w:rPr>
    </w:pPr>
    <w:r w:rsidRPr="00867D51">
      <w:rPr>
        <w:sz w:val="18"/>
        <w:szCs w:val="18"/>
      </w:rPr>
      <w:t xml:space="preserve">Tel: 1+ 416 978 6526   Fax: 1+ 416 978 </w:t>
    </w:r>
    <w:r>
      <w:rPr>
        <w:sz w:val="18"/>
        <w:szCs w:val="18"/>
      </w:rPr>
      <w:t>3884</w:t>
    </w:r>
    <w:r w:rsidRPr="00867D51">
      <w:rPr>
        <w:sz w:val="18"/>
        <w:szCs w:val="18"/>
      </w:rPr>
      <w:t xml:space="preserve">   e: </w:t>
    </w:r>
    <w:hyperlink r:id="rId1" w:history="1">
      <w:r w:rsidRPr="00867D51">
        <w:rPr>
          <w:rStyle w:val="Hyperlink"/>
          <w:sz w:val="18"/>
          <w:szCs w:val="18"/>
        </w:rPr>
        <w:t>dir.assistant.env@utoronto.ca</w:t>
      </w:r>
    </w:hyperlink>
    <w:r w:rsidRPr="00867D51">
      <w:rPr>
        <w:sz w:val="18"/>
        <w:szCs w:val="18"/>
      </w:rPr>
      <w:t xml:space="preserve">   </w:t>
    </w:r>
    <w:hyperlink r:id="rId2" w:history="1">
      <w:r w:rsidRPr="00867D51">
        <w:rPr>
          <w:rStyle w:val="Hyperlink"/>
          <w:sz w:val="18"/>
          <w:szCs w:val="18"/>
        </w:rPr>
        <w:t>https://www.environment.utoronto.ca/</w:t>
      </w:r>
    </w:hyperlink>
    <w:r w:rsidRPr="00867D51">
      <w:rPr>
        <w:sz w:val="18"/>
        <w:szCs w:val="18"/>
      </w:rPr>
      <w:t xml:space="preserve"> </w:t>
    </w:r>
  </w:p>
  <w:p w14:paraId="4B94D5A5" w14:textId="77777777" w:rsidR="002558A8" w:rsidRPr="00BB22A8" w:rsidRDefault="002558A8" w:rsidP="00BB22A8">
    <w:pPr>
      <w:pStyle w:val="Footer"/>
      <w:jc w:val="right"/>
      <w:rPr>
        <w:rFonts w:ascii="Times New Roman" w:hAnsi="Times New Roman"/>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092B" w14:textId="77777777" w:rsidR="00545121" w:rsidRDefault="00545121">
      <w:pPr>
        <w:spacing w:after="0" w:line="240" w:lineRule="auto"/>
      </w:pPr>
      <w:r>
        <w:separator/>
      </w:r>
    </w:p>
  </w:footnote>
  <w:footnote w:type="continuationSeparator" w:id="0">
    <w:p w14:paraId="7F860021" w14:textId="77777777" w:rsidR="00545121" w:rsidRDefault="0054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D1D7" w14:textId="77777777" w:rsidR="00C11E6D" w:rsidRDefault="00C11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2558A8" w:rsidRDefault="002558A8">
    <w:pPr>
      <w:widowControl w:val="0"/>
      <w:autoSpaceDE w:val="0"/>
      <w:autoSpaceDN w:val="0"/>
      <w:adjustRightInd w:val="0"/>
      <w:spacing w:after="0" w:line="240" w:lineRule="auto"/>
      <w:rPr>
        <w:rFonts w:ascii="Times New Roman" w:hAnsi="Times New Roman"/>
        <w:sz w:val="24"/>
        <w:szCs w:val="24"/>
      </w:rPr>
    </w:pPr>
  </w:p>
  <w:p w14:paraId="44EAFD9C" w14:textId="77777777" w:rsidR="002558A8" w:rsidRDefault="002558A8">
    <w:pPr>
      <w:widowControl w:val="0"/>
      <w:autoSpaceDE w:val="0"/>
      <w:autoSpaceDN w:val="0"/>
      <w:adjustRightInd w:val="0"/>
      <w:spacing w:after="0" w:line="240" w:lineRule="auto"/>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3A42" w14:textId="77777777" w:rsidR="00C11E6D" w:rsidRDefault="00C11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324C"/>
    <w:multiLevelType w:val="hybridMultilevel"/>
    <w:tmpl w:val="B48C05D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2A4D07B5"/>
    <w:multiLevelType w:val="hybridMultilevel"/>
    <w:tmpl w:val="90F69A4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F4C22F0"/>
    <w:multiLevelType w:val="hybridMultilevel"/>
    <w:tmpl w:val="4068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72BBC"/>
    <w:multiLevelType w:val="hybridMultilevel"/>
    <w:tmpl w:val="7F2C6138"/>
    <w:lvl w:ilvl="0" w:tplc="05D650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41CFA"/>
    <w:multiLevelType w:val="hybridMultilevel"/>
    <w:tmpl w:val="A4840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4F2935"/>
    <w:multiLevelType w:val="hybridMultilevel"/>
    <w:tmpl w:val="82CA2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4916299">
    <w:abstractNumId w:val="0"/>
  </w:num>
  <w:num w:numId="2" w16cid:durableId="1994215969">
    <w:abstractNumId w:val="1"/>
  </w:num>
  <w:num w:numId="3" w16cid:durableId="1073283348">
    <w:abstractNumId w:val="5"/>
  </w:num>
  <w:num w:numId="4" w16cid:durableId="1315911428">
    <w:abstractNumId w:val="2"/>
  </w:num>
  <w:num w:numId="5" w16cid:durableId="904488972">
    <w:abstractNumId w:val="3"/>
  </w:num>
  <w:num w:numId="6" w16cid:durableId="75371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rawingGridHorizontalSpacing w:val="110"/>
  <w:drawingGridVerticalSpacing w:val="120"/>
  <w:displayHorizontalDrawingGridEvery w:val="0"/>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6C"/>
    <w:rsid w:val="00002D11"/>
    <w:rsid w:val="00016C5F"/>
    <w:rsid w:val="00023616"/>
    <w:rsid w:val="0005124E"/>
    <w:rsid w:val="00054D98"/>
    <w:rsid w:val="00074745"/>
    <w:rsid w:val="0009402B"/>
    <w:rsid w:val="000A017E"/>
    <w:rsid w:val="000B0ED3"/>
    <w:rsid w:val="000D0903"/>
    <w:rsid w:val="000E5149"/>
    <w:rsid w:val="001133F8"/>
    <w:rsid w:val="0013762B"/>
    <w:rsid w:val="00140015"/>
    <w:rsid w:val="00171A6A"/>
    <w:rsid w:val="00181F69"/>
    <w:rsid w:val="0019196C"/>
    <w:rsid w:val="001C0F09"/>
    <w:rsid w:val="001C36EB"/>
    <w:rsid w:val="001C71CE"/>
    <w:rsid w:val="001E1B40"/>
    <w:rsid w:val="0022203A"/>
    <w:rsid w:val="00227118"/>
    <w:rsid w:val="0023496F"/>
    <w:rsid w:val="00235DE2"/>
    <w:rsid w:val="002558A8"/>
    <w:rsid w:val="00257E48"/>
    <w:rsid w:val="00261131"/>
    <w:rsid w:val="00273E79"/>
    <w:rsid w:val="00280383"/>
    <w:rsid w:val="002B5CF1"/>
    <w:rsid w:val="002D0E50"/>
    <w:rsid w:val="002D10B5"/>
    <w:rsid w:val="002E7CF9"/>
    <w:rsid w:val="002F2A67"/>
    <w:rsid w:val="00352ABC"/>
    <w:rsid w:val="0035638B"/>
    <w:rsid w:val="00393E9E"/>
    <w:rsid w:val="003A05F6"/>
    <w:rsid w:val="003A1B36"/>
    <w:rsid w:val="003A4A91"/>
    <w:rsid w:val="003A62DB"/>
    <w:rsid w:val="003D1AB2"/>
    <w:rsid w:val="003F205B"/>
    <w:rsid w:val="003F46CA"/>
    <w:rsid w:val="00453F50"/>
    <w:rsid w:val="004A3030"/>
    <w:rsid w:val="004A5C0E"/>
    <w:rsid w:val="004A71AD"/>
    <w:rsid w:val="004B1474"/>
    <w:rsid w:val="004D1EA1"/>
    <w:rsid w:val="004D6371"/>
    <w:rsid w:val="004E64FE"/>
    <w:rsid w:val="00504030"/>
    <w:rsid w:val="005166F6"/>
    <w:rsid w:val="005231A2"/>
    <w:rsid w:val="00535A21"/>
    <w:rsid w:val="00545121"/>
    <w:rsid w:val="005477B6"/>
    <w:rsid w:val="005646F6"/>
    <w:rsid w:val="00565384"/>
    <w:rsid w:val="0057002E"/>
    <w:rsid w:val="00581345"/>
    <w:rsid w:val="005C59F7"/>
    <w:rsid w:val="005F3B92"/>
    <w:rsid w:val="005F3D61"/>
    <w:rsid w:val="00616F3A"/>
    <w:rsid w:val="006240D2"/>
    <w:rsid w:val="00624555"/>
    <w:rsid w:val="00630378"/>
    <w:rsid w:val="0066611E"/>
    <w:rsid w:val="006708E7"/>
    <w:rsid w:val="006E7404"/>
    <w:rsid w:val="00701BB7"/>
    <w:rsid w:val="00733DA3"/>
    <w:rsid w:val="00757B5A"/>
    <w:rsid w:val="007752B2"/>
    <w:rsid w:val="00783F86"/>
    <w:rsid w:val="00791390"/>
    <w:rsid w:val="007A7E81"/>
    <w:rsid w:val="00802785"/>
    <w:rsid w:val="00802F2B"/>
    <w:rsid w:val="0082447C"/>
    <w:rsid w:val="00856C45"/>
    <w:rsid w:val="008649B3"/>
    <w:rsid w:val="00867D51"/>
    <w:rsid w:val="00884484"/>
    <w:rsid w:val="008A04CB"/>
    <w:rsid w:val="008A44C0"/>
    <w:rsid w:val="008C3A87"/>
    <w:rsid w:val="008F1011"/>
    <w:rsid w:val="008F7C4E"/>
    <w:rsid w:val="00902703"/>
    <w:rsid w:val="00922531"/>
    <w:rsid w:val="00942EE8"/>
    <w:rsid w:val="00945BEC"/>
    <w:rsid w:val="00962F73"/>
    <w:rsid w:val="00982F77"/>
    <w:rsid w:val="0098675A"/>
    <w:rsid w:val="009A6FBC"/>
    <w:rsid w:val="009B083D"/>
    <w:rsid w:val="009B41A2"/>
    <w:rsid w:val="009E4A0D"/>
    <w:rsid w:val="00A16128"/>
    <w:rsid w:val="00A64796"/>
    <w:rsid w:val="00A7789F"/>
    <w:rsid w:val="00A96792"/>
    <w:rsid w:val="00AA314C"/>
    <w:rsid w:val="00AA59E0"/>
    <w:rsid w:val="00AC28B7"/>
    <w:rsid w:val="00AE34BC"/>
    <w:rsid w:val="00AE6B29"/>
    <w:rsid w:val="00AF4D0F"/>
    <w:rsid w:val="00B0127B"/>
    <w:rsid w:val="00B42ACF"/>
    <w:rsid w:val="00B531FD"/>
    <w:rsid w:val="00B56E68"/>
    <w:rsid w:val="00B65035"/>
    <w:rsid w:val="00B749B7"/>
    <w:rsid w:val="00BB22A8"/>
    <w:rsid w:val="00BD0987"/>
    <w:rsid w:val="00BD6D03"/>
    <w:rsid w:val="00BE381A"/>
    <w:rsid w:val="00C002C9"/>
    <w:rsid w:val="00C11E6D"/>
    <w:rsid w:val="00C148E2"/>
    <w:rsid w:val="00C15E17"/>
    <w:rsid w:val="00C33B2E"/>
    <w:rsid w:val="00C4291D"/>
    <w:rsid w:val="00C64CC5"/>
    <w:rsid w:val="00C66BB0"/>
    <w:rsid w:val="00C759B3"/>
    <w:rsid w:val="00CA76E0"/>
    <w:rsid w:val="00CB2152"/>
    <w:rsid w:val="00CC7704"/>
    <w:rsid w:val="00CF6214"/>
    <w:rsid w:val="00D65889"/>
    <w:rsid w:val="00D82C14"/>
    <w:rsid w:val="00D85C06"/>
    <w:rsid w:val="00DA666B"/>
    <w:rsid w:val="00DE1770"/>
    <w:rsid w:val="00DE2F2C"/>
    <w:rsid w:val="00DE52AA"/>
    <w:rsid w:val="00DF2DC1"/>
    <w:rsid w:val="00E11B9B"/>
    <w:rsid w:val="00E429E7"/>
    <w:rsid w:val="00E50AFE"/>
    <w:rsid w:val="00E5573F"/>
    <w:rsid w:val="00E64EF1"/>
    <w:rsid w:val="00E95DCB"/>
    <w:rsid w:val="00EA0174"/>
    <w:rsid w:val="00EA05D4"/>
    <w:rsid w:val="00EC3482"/>
    <w:rsid w:val="00F528F2"/>
    <w:rsid w:val="00F771B3"/>
    <w:rsid w:val="00F83149"/>
    <w:rsid w:val="00F8515A"/>
    <w:rsid w:val="00F91784"/>
    <w:rsid w:val="00F963B5"/>
    <w:rsid w:val="00FA3697"/>
    <w:rsid w:val="00FA6A9B"/>
    <w:rsid w:val="00FC292B"/>
    <w:rsid w:val="00FC476D"/>
    <w:rsid w:val="00FD75BC"/>
    <w:rsid w:val="00FE12CE"/>
    <w:rsid w:val="00FE7BAC"/>
    <w:rsid w:val="30D99AF7"/>
    <w:rsid w:val="311F5789"/>
    <w:rsid w:val="46CA21A2"/>
    <w:rsid w:val="4A23B7DD"/>
    <w:rsid w:val="68980446"/>
    <w:rsid w:val="73F138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2C9543"/>
  <w15:docId w15:val="{1F3FE521-E09C-4B77-BFA8-BFF7E4D7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214"/>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B5"/>
    <w:rPr>
      <w:rFonts w:ascii="Tahoma" w:hAnsi="Tahoma" w:cs="Tahoma"/>
      <w:sz w:val="16"/>
      <w:szCs w:val="16"/>
      <w:lang w:val="en-GB" w:eastAsia="en-GB"/>
    </w:rPr>
  </w:style>
  <w:style w:type="paragraph" w:styleId="ListParagraph">
    <w:name w:val="List Paragraph"/>
    <w:basedOn w:val="Normal"/>
    <w:uiPriority w:val="34"/>
    <w:qFormat/>
    <w:rsid w:val="00D85C06"/>
    <w:pPr>
      <w:ind w:left="720"/>
      <w:contextualSpacing/>
    </w:pPr>
  </w:style>
  <w:style w:type="character" w:styleId="Hyperlink">
    <w:name w:val="Hyperlink"/>
    <w:basedOn w:val="DefaultParagraphFont"/>
    <w:uiPriority w:val="99"/>
    <w:unhideWhenUsed/>
    <w:rsid w:val="00962F73"/>
    <w:rPr>
      <w:color w:val="0000FF"/>
      <w:u w:val="single"/>
    </w:rPr>
  </w:style>
  <w:style w:type="paragraph" w:styleId="Header">
    <w:name w:val="header"/>
    <w:basedOn w:val="Normal"/>
    <w:link w:val="HeaderChar"/>
    <w:uiPriority w:val="99"/>
    <w:unhideWhenUsed/>
    <w:rsid w:val="00CA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6E0"/>
    <w:rPr>
      <w:sz w:val="22"/>
      <w:szCs w:val="22"/>
      <w:lang w:val="en-GB" w:eastAsia="en-GB"/>
    </w:rPr>
  </w:style>
  <w:style w:type="paragraph" w:styleId="Footer">
    <w:name w:val="footer"/>
    <w:basedOn w:val="Normal"/>
    <w:link w:val="FooterChar"/>
    <w:uiPriority w:val="99"/>
    <w:unhideWhenUsed/>
    <w:rsid w:val="00CA7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6E0"/>
    <w:rPr>
      <w:sz w:val="22"/>
      <w:szCs w:val="22"/>
      <w:lang w:val="en-GB" w:eastAsia="en-GB"/>
    </w:rPr>
  </w:style>
  <w:style w:type="paragraph" w:styleId="PlainText">
    <w:name w:val="Plain Text"/>
    <w:basedOn w:val="Normal"/>
    <w:link w:val="PlainTextChar"/>
    <w:uiPriority w:val="99"/>
    <w:unhideWhenUsed/>
    <w:rsid w:val="00565384"/>
    <w:pPr>
      <w:spacing w:after="0" w:line="240" w:lineRule="auto"/>
    </w:pPr>
    <w:rPr>
      <w:rFonts w:ascii="Arial Narrow" w:eastAsiaTheme="minorHAnsi" w:hAnsi="Arial Narrow" w:cstheme="minorBidi"/>
      <w:szCs w:val="24"/>
      <w:lang w:val="en-US" w:eastAsia="en-US"/>
    </w:rPr>
  </w:style>
  <w:style w:type="character" w:customStyle="1" w:styleId="PlainTextChar">
    <w:name w:val="Plain Text Char"/>
    <w:basedOn w:val="DefaultParagraphFont"/>
    <w:link w:val="PlainText"/>
    <w:uiPriority w:val="99"/>
    <w:rsid w:val="00565384"/>
    <w:rPr>
      <w:rFonts w:ascii="Arial Narrow" w:eastAsiaTheme="minorHAnsi" w:hAnsi="Arial Narrow" w:cstheme="minorBidi"/>
      <w:sz w:val="22"/>
      <w:szCs w:val="24"/>
      <w:lang w:val="en-US" w:eastAsia="en-US"/>
    </w:rPr>
  </w:style>
  <w:style w:type="character" w:styleId="Strong">
    <w:name w:val="Strong"/>
    <w:basedOn w:val="DefaultParagraphFont"/>
    <w:uiPriority w:val="22"/>
    <w:qFormat/>
    <w:rsid w:val="003A05F6"/>
    <w:rPr>
      <w:b/>
      <w:bCs/>
    </w:rPr>
  </w:style>
  <w:style w:type="paragraph" w:styleId="NormalWeb">
    <w:name w:val="Normal (Web)"/>
    <w:basedOn w:val="Normal"/>
    <w:uiPriority w:val="99"/>
    <w:unhideWhenUsed/>
    <w:rsid w:val="003A05F6"/>
    <w:pPr>
      <w:spacing w:before="100" w:beforeAutospacing="1" w:after="100" w:afterAutospacing="1" w:line="240" w:lineRule="auto"/>
    </w:pPr>
    <w:rPr>
      <w:rFonts w:ascii="Times New Roman" w:hAnsi="Times New Roman"/>
      <w:sz w:val="24"/>
      <w:szCs w:val="24"/>
      <w:lang w:val="en-US" w:eastAsia="en-US"/>
    </w:rPr>
  </w:style>
  <w:style w:type="character" w:styleId="FollowedHyperlink">
    <w:name w:val="FollowedHyperlink"/>
    <w:basedOn w:val="DefaultParagraphFont"/>
    <w:uiPriority w:val="99"/>
    <w:semiHidden/>
    <w:unhideWhenUsed/>
    <w:rsid w:val="003A05F6"/>
    <w:rPr>
      <w:color w:val="800080" w:themeColor="followedHyperlink"/>
      <w:u w:val="single"/>
    </w:rPr>
  </w:style>
  <w:style w:type="character" w:styleId="UnresolvedMention">
    <w:name w:val="Unresolved Mention"/>
    <w:basedOn w:val="DefaultParagraphFont"/>
    <w:uiPriority w:val="99"/>
    <w:semiHidden/>
    <w:unhideWhenUsed/>
    <w:rsid w:val="00CF6214"/>
    <w:rPr>
      <w:color w:val="605E5C"/>
      <w:shd w:val="clear" w:color="auto" w:fill="E1DFDD"/>
    </w:rPr>
  </w:style>
  <w:style w:type="paragraph" w:styleId="BodyText">
    <w:name w:val="Body Text"/>
    <w:basedOn w:val="Normal"/>
    <w:link w:val="BodyTextChar"/>
    <w:uiPriority w:val="99"/>
    <w:rsid w:val="00AA59E0"/>
    <w:pPr>
      <w:widowControl w:val="0"/>
      <w:autoSpaceDN w:val="0"/>
      <w:adjustRightInd w:val="0"/>
      <w:spacing w:after="0" w:line="240" w:lineRule="auto"/>
      <w:jc w:val="both"/>
    </w:pPr>
    <w:rPr>
      <w:rFonts w:ascii="Arial" w:eastAsia="Batang" w:hAnsi="Arial" w:cs="Arial"/>
      <w:sz w:val="20"/>
      <w:szCs w:val="20"/>
      <w:lang w:val="en-US" w:eastAsia="en-CA"/>
    </w:rPr>
  </w:style>
  <w:style w:type="character" w:customStyle="1" w:styleId="BodyTextChar">
    <w:name w:val="Body Text Char"/>
    <w:basedOn w:val="DefaultParagraphFont"/>
    <w:link w:val="BodyText"/>
    <w:uiPriority w:val="99"/>
    <w:rsid w:val="00AA59E0"/>
    <w:rPr>
      <w:rFonts w:ascii="Arial" w:eastAsia="Batang"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128">
      <w:bodyDiv w:val="1"/>
      <w:marLeft w:val="0"/>
      <w:marRight w:val="0"/>
      <w:marTop w:val="0"/>
      <w:marBottom w:val="0"/>
      <w:divBdr>
        <w:top w:val="none" w:sz="0" w:space="0" w:color="auto"/>
        <w:left w:val="none" w:sz="0" w:space="0" w:color="auto"/>
        <w:bottom w:val="none" w:sz="0" w:space="0" w:color="auto"/>
        <w:right w:val="none" w:sz="0" w:space="0" w:color="auto"/>
      </w:divBdr>
    </w:div>
    <w:div w:id="563954381">
      <w:bodyDiv w:val="1"/>
      <w:marLeft w:val="0"/>
      <w:marRight w:val="0"/>
      <w:marTop w:val="0"/>
      <w:marBottom w:val="0"/>
      <w:divBdr>
        <w:top w:val="none" w:sz="0" w:space="0" w:color="auto"/>
        <w:left w:val="none" w:sz="0" w:space="0" w:color="auto"/>
        <w:bottom w:val="none" w:sz="0" w:space="0" w:color="auto"/>
        <w:right w:val="none" w:sz="0" w:space="0" w:color="auto"/>
      </w:divBdr>
    </w:div>
    <w:div w:id="759646056">
      <w:bodyDiv w:val="1"/>
      <w:marLeft w:val="0"/>
      <w:marRight w:val="0"/>
      <w:marTop w:val="0"/>
      <w:marBottom w:val="0"/>
      <w:divBdr>
        <w:top w:val="none" w:sz="0" w:space="0" w:color="auto"/>
        <w:left w:val="none" w:sz="0" w:space="0" w:color="auto"/>
        <w:bottom w:val="none" w:sz="0" w:space="0" w:color="auto"/>
        <w:right w:val="none" w:sz="0" w:space="0" w:color="auto"/>
      </w:divBdr>
    </w:div>
    <w:div w:id="1256207478">
      <w:bodyDiv w:val="1"/>
      <w:marLeft w:val="0"/>
      <w:marRight w:val="0"/>
      <w:marTop w:val="0"/>
      <w:marBottom w:val="0"/>
      <w:divBdr>
        <w:top w:val="none" w:sz="0" w:space="0" w:color="auto"/>
        <w:left w:val="none" w:sz="0" w:space="0" w:color="auto"/>
        <w:bottom w:val="none" w:sz="0" w:space="0" w:color="auto"/>
        <w:right w:val="none" w:sz="0" w:space="0" w:color="auto"/>
      </w:divBdr>
    </w:div>
    <w:div w:id="1417021762">
      <w:bodyDiv w:val="1"/>
      <w:marLeft w:val="0"/>
      <w:marRight w:val="0"/>
      <w:marTop w:val="0"/>
      <w:marBottom w:val="0"/>
      <w:divBdr>
        <w:top w:val="none" w:sz="0" w:space="0" w:color="auto"/>
        <w:left w:val="none" w:sz="0" w:space="0" w:color="auto"/>
        <w:bottom w:val="none" w:sz="0" w:space="0" w:color="auto"/>
        <w:right w:val="none" w:sz="0" w:space="0" w:color="auto"/>
      </w:divBdr>
    </w:div>
    <w:div w:id="1589387652">
      <w:bodyDiv w:val="1"/>
      <w:marLeft w:val="0"/>
      <w:marRight w:val="0"/>
      <w:marTop w:val="0"/>
      <w:marBottom w:val="0"/>
      <w:divBdr>
        <w:top w:val="none" w:sz="0" w:space="0" w:color="auto"/>
        <w:left w:val="none" w:sz="0" w:space="0" w:color="auto"/>
        <w:bottom w:val="none" w:sz="0" w:space="0" w:color="auto"/>
        <w:right w:val="none" w:sz="0" w:space="0" w:color="auto"/>
      </w:divBdr>
    </w:div>
    <w:div w:id="1731423803">
      <w:bodyDiv w:val="1"/>
      <w:marLeft w:val="0"/>
      <w:marRight w:val="0"/>
      <w:marTop w:val="0"/>
      <w:marBottom w:val="0"/>
      <w:divBdr>
        <w:top w:val="none" w:sz="0" w:space="0" w:color="auto"/>
        <w:left w:val="none" w:sz="0" w:space="0" w:color="auto"/>
        <w:bottom w:val="none" w:sz="0" w:space="0" w:color="auto"/>
        <w:right w:val="none" w:sz="0" w:space="0" w:color="auto"/>
      </w:divBdr>
    </w:div>
    <w:div w:id="19394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commission.org/" TargetMode="External"/><Relationship Id="rId13" Type="http://schemas.openxmlformats.org/officeDocument/2006/relationships/hyperlink" Target="https://www.nature.com/articles/461472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nature.com/articles/s41893-023-01255-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articles/s41893-023-01064-1" TargetMode="External"/><Relationship Id="rId5" Type="http://schemas.openxmlformats.org/officeDocument/2006/relationships/footnotes" Target="footnotes.xml"/><Relationship Id="rId15" Type="http://schemas.openxmlformats.org/officeDocument/2006/relationships/hyperlink" Target="mailto:miriam.diamond@utoronto.ca" TargetMode="External"/><Relationship Id="rId23" Type="http://schemas.openxmlformats.org/officeDocument/2006/relationships/theme" Target="theme/theme1.xml"/><Relationship Id="rId10" Type="http://schemas.openxmlformats.org/officeDocument/2006/relationships/hyperlink" Target="https://www.nature.com/articles/s41586-023-06083-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nvironment.utoronto.ca/" TargetMode="External"/><Relationship Id="rId14" Type="http://schemas.openxmlformats.org/officeDocument/2006/relationships/hyperlink" Target="https://pubs.acs.org/doi/10.1021/acs.est.1c04158"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www.environment.utoronto.ca/" TargetMode="External"/><Relationship Id="rId1" Type="http://schemas.openxmlformats.org/officeDocument/2006/relationships/hyperlink" Target="mailto:dir.assistant.env@utoronto.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Kim\MySchool\LETTERS\School%20ENV%20templat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ENV template letterhead</Template>
  <TotalTime>1</TotalTime>
  <Pages>2</Pages>
  <Words>664</Words>
  <Characters>4196</Characters>
  <Application>Microsoft Office Word</Application>
  <DocSecurity>4</DocSecurity>
  <Lines>34</Lines>
  <Paragraphs>9</Paragraphs>
  <ScaleCrop>false</ScaleCrop>
  <Company>Microsoft</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Kimberly Strong</dc:creator>
  <cp:lastModifiedBy>Kiran Champatsingh</cp:lastModifiedBy>
  <cp:revision>2</cp:revision>
  <cp:lastPrinted>2015-03-06T18:27:00Z</cp:lastPrinted>
  <dcterms:created xsi:type="dcterms:W3CDTF">2024-03-20T18:48:00Z</dcterms:created>
  <dcterms:modified xsi:type="dcterms:W3CDTF">2024-03-20T18:48:00Z</dcterms:modified>
</cp:coreProperties>
</file>